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128D4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  <w:lang w:bidi="ar"/>
          <w14:ligatures w14:val="standardContextual"/>
        </w:rPr>
      </w:pPr>
      <w:r w:rsidRPr="00C70794">
        <w:rPr>
          <w:rFonts w:ascii="Times New Roman" w:eastAsia="等线" w:hAnsi="Times New Roman" w:cs="Times New Roman"/>
          <w:b/>
          <w:bCs/>
          <w:sz w:val="24"/>
          <w:szCs w:val="24"/>
        </w:rPr>
        <w:t>Supplementary Materials</w:t>
      </w:r>
    </w:p>
    <w:p w14:paraId="6FD80F06" w14:textId="12E8A8B5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</w:pPr>
      <w:r w:rsidRPr="00C70794">
        <w:rPr>
          <w:rFonts w:ascii="Times New Roman" w:eastAsia="等线" w:hAnsi="Times New Roman" w:cs="Times New Roman"/>
          <w:sz w:val="24"/>
          <w:szCs w:val="24"/>
        </w:rPr>
        <w:t>Supplementary Fig</w:t>
      </w:r>
      <w:r w:rsidR="00CD7595">
        <w:rPr>
          <w:rFonts w:ascii="Times New Roman" w:eastAsia="等线" w:hAnsi="Times New Roman" w:cs="Times New Roman"/>
          <w:sz w:val="24"/>
          <w:szCs w:val="24"/>
        </w:rPr>
        <w:t>.</w:t>
      </w:r>
      <w:r w:rsidRPr="00C70794">
        <w:rPr>
          <w:rFonts w:ascii="Times New Roman" w:eastAsia="等线" w:hAnsi="Times New Roman" w:cs="Times New Roman"/>
          <w:sz w:val="24"/>
          <w:szCs w:val="24"/>
        </w:rPr>
        <w:t xml:space="preserve"> 1 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>Survival differences between the high- and low-risk subgroups across different clinical features.</w:t>
      </w:r>
      <w:bookmarkStart w:id="0" w:name="_GoBack"/>
      <w:bookmarkEnd w:id="0"/>
    </w:p>
    <w:p w14:paraId="4EC55A5B" w14:textId="029CD39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等线" w:hAnsi="Times New Roman" w:cs="Times New Roman"/>
          <w:kern w:val="0"/>
          <w:sz w:val="24"/>
          <w:szCs w:val="24"/>
          <w:lang w:bidi="ar"/>
          <w14:ligatures w14:val="standardContextual"/>
        </w:rPr>
      </w:pPr>
      <w:r w:rsidRPr="00C70794">
        <w:rPr>
          <w:rFonts w:ascii="Times New Roman" w:eastAsia="等线" w:hAnsi="Times New Roman" w:cs="Times New Roman"/>
          <w:sz w:val="24"/>
          <w:szCs w:val="24"/>
        </w:rPr>
        <w:t>Supplementary Fig</w:t>
      </w:r>
      <w:r w:rsidR="00CD7595">
        <w:rPr>
          <w:rFonts w:ascii="Times New Roman" w:eastAsia="等线" w:hAnsi="Times New Roman" w:cs="Times New Roman"/>
          <w:sz w:val="24"/>
          <w:szCs w:val="24"/>
        </w:rPr>
        <w:t>.</w:t>
      </w:r>
      <w:r w:rsidRPr="00C70794">
        <w:rPr>
          <w:rFonts w:ascii="Times New Roman" w:eastAsia="等线" w:hAnsi="Times New Roman" w:cs="Times New Roman"/>
          <w:sz w:val="24"/>
          <w:szCs w:val="24"/>
        </w:rPr>
        <w:t xml:space="preserve"> </w:t>
      </w:r>
      <w:r w:rsidRPr="00C70794">
        <w:rPr>
          <w:rFonts w:ascii="Times New Roman" w:eastAsia="等线" w:hAnsi="Times New Roman" w:cs="Times New Roman" w:hint="eastAsia"/>
          <w:sz w:val="24"/>
          <w:szCs w:val="24"/>
        </w:rPr>
        <w:t>2 Construction of two Cox regression models: Model A, which includes sex, age, and disease stage, and Model B, which expands upon this by also incorporating prognostic genes alongside sex, age, and stage. (A) Comparison of the C-index between Model A and Model B. (B-C) Time-dependent ROC curves for Model A and Model B (3 years, 5 years, 7 years). (D-E) Decision Curve Analysis (DCA) for Model A and Model B.</w:t>
      </w:r>
    </w:p>
    <w:p w14:paraId="04283499" w14:textId="556E054C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等线" w:hAnsi="Times New Roman" w:cs="Times New Roman"/>
          <w:sz w:val="24"/>
          <w:szCs w:val="24"/>
        </w:rPr>
      </w:pPr>
      <w:r w:rsidRPr="00C70794">
        <w:rPr>
          <w:rFonts w:ascii="Times New Roman" w:eastAsia="等线" w:hAnsi="Times New Roman" w:cs="Times New Roman"/>
          <w:sz w:val="24"/>
          <w:szCs w:val="24"/>
        </w:rPr>
        <w:t>Supplementary Fig</w:t>
      </w:r>
      <w:r w:rsidR="00CD7595">
        <w:rPr>
          <w:rFonts w:ascii="Times New Roman" w:eastAsia="等线" w:hAnsi="Times New Roman" w:cs="Times New Roman"/>
          <w:sz w:val="24"/>
          <w:szCs w:val="24"/>
        </w:rPr>
        <w:t>.</w:t>
      </w:r>
      <w:r w:rsidRPr="00C70794">
        <w:rPr>
          <w:rFonts w:ascii="Times New Roman" w:eastAsia="等线" w:hAnsi="Times New Roman" w:cs="Times New Roman"/>
          <w:sz w:val="24"/>
          <w:szCs w:val="24"/>
        </w:rPr>
        <w:t xml:space="preserve"> </w:t>
      </w:r>
      <w:r w:rsidRPr="00C70794">
        <w:rPr>
          <w:rFonts w:ascii="Times New Roman" w:eastAsia="等线" w:hAnsi="Times New Roman" w:cs="Times New Roman" w:hint="eastAsia"/>
          <w:sz w:val="24"/>
          <w:szCs w:val="24"/>
        </w:rPr>
        <w:t>3</w:t>
      </w:r>
      <w:r w:rsidRPr="00C70794">
        <w:rPr>
          <w:rFonts w:ascii="Times New Roman" w:eastAsia="等线" w:hAnsi="Times New Roman" w:cs="Times New Roman"/>
          <w:sz w:val="24"/>
          <w:szCs w:val="24"/>
        </w:rPr>
        <w:t xml:space="preserve"> 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>Quality control for single-cell data of tissue samples from patients with OS. (</w:t>
      </w:r>
      <w:r w:rsidRPr="00C70794">
        <w:rPr>
          <w:rFonts w:ascii="Times New Roman" w:eastAsia="等线" w:hAnsi="Times New Roman" w:cs="Times New Roman"/>
          <w:sz w:val="24"/>
          <w:szCs w:val="24"/>
        </w:rPr>
        <w:t>A–B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) Distribution plots of features before and after quality control for RNA, as well as the percentage of mitochondria. </w:t>
      </w: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(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>C</w:t>
      </w: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)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 Highly variable genes were screened using the </w:t>
      </w:r>
      <w:proofErr w:type="spellStart"/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>LogNormalize</w:t>
      </w:r>
      <w:proofErr w:type="spellEnd"/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 function. </w:t>
      </w:r>
      <w:r w:rsidRPr="00C70794">
        <w:rPr>
          <w:rFonts w:ascii="Times New Roman" w:eastAsia="等线" w:hAnsi="Times New Roman" w:cs="Times New Roman"/>
          <w:sz w:val="24"/>
          <w:szCs w:val="24"/>
        </w:rPr>
        <w:t>(D) The linear optimal dimensionality value for obtaining cell clustering was determined.</w:t>
      </w:r>
    </w:p>
    <w:p w14:paraId="15767567" w14:textId="78CE0C59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等线" w:hAnsi="Times New Roman" w:cs="Times New Roman"/>
          <w:sz w:val="24"/>
          <w:szCs w:val="24"/>
        </w:rPr>
      </w:pPr>
      <w:r w:rsidRPr="00C70794">
        <w:rPr>
          <w:rFonts w:ascii="Times New Roman" w:eastAsia="等线" w:hAnsi="Times New Roman" w:cs="Times New Roman"/>
          <w:sz w:val="24"/>
          <w:szCs w:val="24"/>
        </w:rPr>
        <w:t>Supplementary Fig</w:t>
      </w:r>
      <w:r w:rsidR="00CD7595">
        <w:rPr>
          <w:rFonts w:ascii="Times New Roman" w:eastAsia="等线" w:hAnsi="Times New Roman" w:cs="Times New Roman"/>
          <w:sz w:val="24"/>
          <w:szCs w:val="24"/>
        </w:rPr>
        <w:t>.</w:t>
      </w:r>
      <w:r w:rsidRPr="00C70794">
        <w:rPr>
          <w:rFonts w:ascii="Times New Roman" w:eastAsia="等线" w:hAnsi="Times New Roman" w:cs="Times New Roman"/>
          <w:sz w:val="24"/>
          <w:szCs w:val="24"/>
        </w:rPr>
        <w:t xml:space="preserve"> 4 M1 macrophages can be divided into five different subgroups. (A) Cell clustering linear reduction stone chart. (B–C) M1 macrophage subtype clustering chart.</w:t>
      </w:r>
    </w:p>
    <w:p w14:paraId="7C829D26" w14:textId="77777777" w:rsidR="00C70794" w:rsidRPr="00C70794" w:rsidRDefault="00C70794" w:rsidP="00C70794">
      <w:pPr>
        <w:spacing w:line="360" w:lineRule="auto"/>
        <w:rPr>
          <w:rFonts w:ascii="Times New Roman" w:eastAsia="等线" w:hAnsi="Times New Roman" w:cs="Times New Roman"/>
          <w:sz w:val="24"/>
          <w:szCs w:val="24"/>
        </w:rPr>
      </w:pP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>Supplementary Table 1</w:t>
      </w:r>
      <w:r w:rsidRPr="00C70794">
        <w:rPr>
          <w:rFonts w:ascii="Times New Roman" w:eastAsia="等线" w:hAnsi="Times New Roman" w:cs="Times New Roman"/>
          <w:sz w:val="24"/>
          <w:szCs w:val="24"/>
          <w:u w:color="FA5050"/>
        </w:rPr>
        <w:t xml:space="preserve"> The primers utilized for validation.</w:t>
      </w:r>
    </w:p>
    <w:p w14:paraId="39D3A581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</w:pP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Supplementary Table 2. Hazard ratios, 95% confidence intervals, and P values of the four prognostic genes included in the risk model.</w:t>
      </w:r>
    </w:p>
    <w:p w14:paraId="07811285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</w:pP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Supplementary Table 3: Patient survival status in high- and low-risk groups from TARGET-OS and GSE16091 datasets.</w:t>
      </w:r>
    </w:p>
    <w:p w14:paraId="7DB024D2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</w:pP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Supplementary Table 4: Results of internal validation in both datasets.</w:t>
      </w:r>
    </w:p>
    <w:p w14:paraId="69818871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等线" w:hAnsi="Times New Roman" w:cs="Times New Roman"/>
          <w:sz w:val="24"/>
          <w:szCs w:val="24"/>
        </w:rPr>
      </w:pP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Supplementary Table </w:t>
      </w: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5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 </w:t>
      </w:r>
      <w:r w:rsidRPr="00C70794">
        <w:rPr>
          <w:rFonts w:ascii="Times New Roman" w:eastAsia="等线" w:hAnsi="Times New Roman" w:cs="Times New Roman"/>
          <w:sz w:val="24"/>
          <w:szCs w:val="24"/>
        </w:rPr>
        <w:t>GO term enrichment between the high- and low-risk subgroups based on differences in DEG expression.</w:t>
      </w:r>
    </w:p>
    <w:p w14:paraId="295C5681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等线" w:hAnsi="Times New Roman" w:cs="Times New Roman"/>
          <w:sz w:val="24"/>
          <w:szCs w:val="24"/>
        </w:rPr>
      </w:pP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Supplementary Table </w:t>
      </w: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6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 </w:t>
      </w:r>
      <w:r w:rsidRPr="00C70794">
        <w:rPr>
          <w:rFonts w:ascii="Times New Roman" w:eastAsia="等线" w:hAnsi="Times New Roman" w:cs="Times New Roman"/>
          <w:sz w:val="24"/>
          <w:szCs w:val="24"/>
        </w:rPr>
        <w:t>KEGG pathway enrichment between the high- and low-risk subgroups based on GSEA.</w:t>
      </w:r>
    </w:p>
    <w:p w14:paraId="566F6B94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等线" w:hAnsi="Times New Roman" w:cs="Times New Roman"/>
          <w:sz w:val="24"/>
          <w:szCs w:val="24"/>
        </w:rPr>
      </w:pP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Supplementary Table </w:t>
      </w: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7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 </w:t>
      </w:r>
      <w:r w:rsidRPr="00C70794">
        <w:rPr>
          <w:rFonts w:ascii="Times New Roman" w:eastAsia="等线" w:hAnsi="Times New Roman" w:cs="Times New Roman"/>
          <w:sz w:val="24"/>
          <w:szCs w:val="24"/>
        </w:rPr>
        <w:t>Biological GO term enrichment between the high- and low-risk subgroups based on GSVA.</w:t>
      </w:r>
    </w:p>
    <w:p w14:paraId="0B7EE902" w14:textId="77777777" w:rsidR="00C70794" w:rsidRPr="00C70794" w:rsidRDefault="00C70794" w:rsidP="00C70794">
      <w:pPr>
        <w:widowControl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</w:pP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Supplementary Table </w:t>
      </w: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8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 Drug sensitivity analysis based on the risk score.</w:t>
      </w:r>
    </w:p>
    <w:p w14:paraId="1EBD95D8" w14:textId="77777777" w:rsidR="00C70794" w:rsidRPr="00C70794" w:rsidRDefault="00C70794" w:rsidP="00C70794">
      <w:pPr>
        <w:spacing w:line="360" w:lineRule="auto"/>
        <w:rPr>
          <w:rFonts w:ascii="Times New Roman" w:eastAsia="等线" w:hAnsi="Times New Roman" w:cs="Times New Roman"/>
          <w:sz w:val="24"/>
          <w:szCs w:val="24"/>
        </w:rPr>
      </w:pP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lastRenderedPageBreak/>
        <w:t xml:space="preserve">Supplementary Table </w:t>
      </w:r>
      <w:r w:rsidRPr="00C70794">
        <w:rPr>
          <w:rFonts w:ascii="Times New Roman" w:eastAsia="宋体" w:hAnsi="Times New Roman" w:cs="Times New Roman" w:hint="eastAsia"/>
          <w:kern w:val="0"/>
          <w:sz w:val="24"/>
          <w:szCs w:val="24"/>
          <w:lang w:bidi="ar"/>
          <w14:ligatures w14:val="standardContextual"/>
        </w:rPr>
        <w:t>9</w:t>
      </w:r>
      <w:r w:rsidRPr="00C70794">
        <w:rPr>
          <w:rFonts w:ascii="Times New Roman" w:eastAsia="宋体" w:hAnsi="Times New Roman" w:cs="Times New Roman"/>
          <w:kern w:val="0"/>
          <w:sz w:val="24"/>
          <w:szCs w:val="24"/>
          <w:lang w:bidi="ar"/>
          <w14:ligatures w14:val="standardContextual"/>
        </w:rPr>
        <w:t xml:space="preserve"> </w:t>
      </w:r>
      <w:r w:rsidRPr="00C70794">
        <w:rPr>
          <w:rFonts w:ascii="Times New Roman" w:eastAsia="等线" w:hAnsi="Times New Roman" w:cs="Times New Roman"/>
          <w:sz w:val="24"/>
          <w:szCs w:val="24"/>
        </w:rPr>
        <w:t>IC</w:t>
      </w:r>
      <w:r w:rsidRPr="00C70794">
        <w:rPr>
          <w:rFonts w:ascii="Times New Roman" w:eastAsia="等线" w:hAnsi="Times New Roman" w:cs="Times New Roman"/>
          <w:sz w:val="24"/>
          <w:szCs w:val="24"/>
          <w:vertAlign w:val="subscript"/>
        </w:rPr>
        <w:t>50</w:t>
      </w:r>
      <w:r w:rsidRPr="00C70794">
        <w:rPr>
          <w:rFonts w:ascii="Times New Roman" w:eastAsia="等线" w:hAnsi="Times New Roman" w:cs="Times New Roman"/>
          <w:sz w:val="24"/>
          <w:szCs w:val="24"/>
        </w:rPr>
        <w:t>s of drugs in the two risk subgroups.</w:t>
      </w:r>
    </w:p>
    <w:p w14:paraId="6A2A4812" w14:textId="77777777" w:rsidR="00C70794" w:rsidRPr="00C70794" w:rsidRDefault="00C70794" w:rsidP="00C70794">
      <w:pPr>
        <w:spacing w:line="360" w:lineRule="auto"/>
        <w:rPr>
          <w:rFonts w:ascii="Times New Roman" w:eastAsia="等线" w:hAnsi="Times New Roman" w:cs="Times New Roman"/>
          <w:sz w:val="24"/>
          <w:szCs w:val="24"/>
        </w:rPr>
      </w:pPr>
    </w:p>
    <w:p w14:paraId="3F68BB58" w14:textId="77777777" w:rsidR="00C11A31" w:rsidRPr="00C70794" w:rsidRDefault="00C11A31"/>
    <w:sectPr w:rsidR="00C11A31" w:rsidRPr="00C70794" w:rsidSect="00FE684E">
      <w:headerReference w:type="default" r:id="rId6"/>
      <w:headerReference w:type="first" r:id="rId7"/>
      <w:pgSz w:w="11906" w:h="16838" w:code="9"/>
      <w:pgMar w:top="1134" w:right="851" w:bottom="1134" w:left="851" w:header="284" w:footer="1134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7BDFC" w14:textId="77777777" w:rsidR="00666348" w:rsidRDefault="00666348" w:rsidP="00C70794">
      <w:r>
        <w:separator/>
      </w:r>
    </w:p>
  </w:endnote>
  <w:endnote w:type="continuationSeparator" w:id="0">
    <w:p w14:paraId="4B54D56F" w14:textId="77777777" w:rsidR="00666348" w:rsidRDefault="00666348" w:rsidP="00C7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535CC" w14:textId="77777777" w:rsidR="00666348" w:rsidRDefault="00666348" w:rsidP="00C70794">
      <w:r>
        <w:separator/>
      </w:r>
    </w:p>
  </w:footnote>
  <w:footnote w:type="continuationSeparator" w:id="0">
    <w:p w14:paraId="408B44D3" w14:textId="77777777" w:rsidR="00666348" w:rsidRDefault="00666348" w:rsidP="00C7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BDB1D" w14:textId="77777777" w:rsidR="00441AB4" w:rsidRDefault="00666348" w:rsidP="00FE684E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3A395" w14:textId="132D4DBD" w:rsidR="00441AB4" w:rsidRDefault="00666348" w:rsidP="00FE684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6B"/>
    <w:rsid w:val="00367217"/>
    <w:rsid w:val="003A1A78"/>
    <w:rsid w:val="004B52F1"/>
    <w:rsid w:val="005B0FBD"/>
    <w:rsid w:val="00666348"/>
    <w:rsid w:val="00794BCF"/>
    <w:rsid w:val="00937083"/>
    <w:rsid w:val="00C11A31"/>
    <w:rsid w:val="00C70794"/>
    <w:rsid w:val="00CD7595"/>
    <w:rsid w:val="00E46C6C"/>
    <w:rsid w:val="00E76E6B"/>
    <w:rsid w:val="00F6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751DF"/>
  <w15:chartTrackingRefBased/>
  <w15:docId w15:val="{EAB485D7-697E-4189-A8C3-45CCA1E1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4B52F1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4B52F1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4B52F1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paragraph" w:styleId="4">
    <w:name w:val="heading 4"/>
    <w:aliases w:val="Heading level 4"/>
    <w:basedOn w:val="a"/>
    <w:next w:val="a"/>
    <w:link w:val="40"/>
    <w:uiPriority w:val="11"/>
    <w:rsid w:val="004B52F1"/>
    <w:pPr>
      <w:keepNext/>
      <w:keepLines/>
      <w:widowControl/>
      <w:adjustRightInd w:val="0"/>
      <w:snapToGrid w:val="0"/>
      <w:spacing w:before="120" w:after="120"/>
      <w:outlineLvl w:val="3"/>
    </w:pPr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4B52F1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4B52F1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4B52F1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4B52F1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4B52F1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Blockquote">
    <w:name w:val="Block quote"/>
    <w:basedOn w:val="Articletype"/>
    <w:uiPriority w:val="17"/>
    <w:qFormat/>
    <w:rsid w:val="004B52F1"/>
    <w:pPr>
      <w:spacing w:before="240" w:after="240" w:line="340" w:lineRule="exact"/>
      <w:ind w:left="720"/>
      <w:jc w:val="both"/>
    </w:pPr>
    <w:rPr>
      <w:i w:val="0"/>
      <w:sz w:val="21"/>
      <w:szCs w:val="21"/>
    </w:rPr>
  </w:style>
  <w:style w:type="paragraph" w:customStyle="1" w:styleId="E-mail">
    <w:name w:val="E-mail"/>
    <w:link w:val="E-mail0"/>
    <w:uiPriority w:val="5"/>
    <w:qFormat/>
    <w:rsid w:val="004B52F1"/>
    <w:pPr>
      <w:adjustRightInd w:val="0"/>
      <w:snapToGrid w:val="0"/>
      <w:spacing w:line="340" w:lineRule="exact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4B52F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4B52F1"/>
    <w:pPr>
      <w:adjustRightInd w:val="0"/>
      <w:snapToGrid w:val="0"/>
      <w:spacing w:before="60" w:after="60" w:line="340" w:lineRule="exact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4B52F1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4B52F1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4B52F1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4B52F1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4B52F1"/>
    <w:pPr>
      <w:adjustRightInd w:val="0"/>
      <w:snapToGrid w:val="0"/>
      <w:spacing w:line="340" w:lineRule="exact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4B52F1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4B52F1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4B52F1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4B52F1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4B52F1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4B52F1"/>
    <w:rPr>
      <w:rFonts w:ascii="Times New Roman" w:eastAsia="Times New Roman" w:hAnsi="Times New Roman" w:cs="Times New Roman"/>
      <w:b/>
      <w:bCs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4B52F1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Text0">
    <w:name w:val="Text 字符"/>
    <w:basedOn w:val="a0"/>
    <w:link w:val="Text"/>
    <w:uiPriority w:val="12"/>
    <w:rsid w:val="004B52F1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"/>
    <w:basedOn w:val="a"/>
    <w:link w:val="a4"/>
    <w:uiPriority w:val="20"/>
    <w:qFormat/>
    <w:rsid w:val="004B52F1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kern w:val="0"/>
      <w:szCs w:val="21"/>
      <w:lang w:eastAsia="es-ES"/>
    </w:rPr>
  </w:style>
  <w:style w:type="character" w:customStyle="1" w:styleId="a4">
    <w:name w:val="批注文字 字符"/>
    <w:aliases w:val="Comment 字符"/>
    <w:basedOn w:val="a0"/>
    <w:link w:val="a3"/>
    <w:uiPriority w:val="20"/>
    <w:qFormat/>
    <w:rsid w:val="004B52F1"/>
    <w:rPr>
      <w:rFonts w:ascii="Times New Roman" w:eastAsia="Times New Roman" w:hAnsi="Times New Roman" w:cs="Times New Roman"/>
      <w:kern w:val="0"/>
      <w:szCs w:val="21"/>
      <w:lang w:eastAsia="es-ES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4B52F1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paragraph" w:styleId="a5">
    <w:name w:val="header"/>
    <w:basedOn w:val="a"/>
    <w:link w:val="a6"/>
    <w:uiPriority w:val="99"/>
    <w:unhideWhenUsed/>
    <w:qFormat/>
    <w:rsid w:val="00C70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C7079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70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707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</dc:creator>
  <cp:keywords/>
  <dc:description/>
  <cp:lastModifiedBy>Claire</cp:lastModifiedBy>
  <cp:revision>4</cp:revision>
  <dcterms:created xsi:type="dcterms:W3CDTF">2026-06-15T09:32:00Z</dcterms:created>
  <dcterms:modified xsi:type="dcterms:W3CDTF">2026-06-15T09:49:00Z</dcterms:modified>
</cp:coreProperties>
</file>